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DC" w:rsidRDefault="00635C9F">
      <w:pPr>
        <w:pStyle w:val="30"/>
        <w:shd w:val="clear" w:color="auto" w:fill="auto"/>
        <w:spacing w:after="420" w:line="190" w:lineRule="exact"/>
      </w:pPr>
      <w:r>
        <w:rPr>
          <w:rStyle w:val="31"/>
          <w:b/>
          <w:bCs/>
        </w:rPr>
        <w:t>ПРОЕКТ</w:t>
      </w:r>
    </w:p>
    <w:p w:rsidR="004A29DC" w:rsidRDefault="00635C9F">
      <w:pPr>
        <w:pStyle w:val="40"/>
        <w:shd w:val="clear" w:color="auto" w:fill="auto"/>
        <w:spacing w:before="0" w:after="691" w:line="220" w:lineRule="exact"/>
        <w:ind w:left="40"/>
      </w:pPr>
      <w:r>
        <w:t>Единый государственный экзамен по РУССКОМУ ЯЗЫКУ</w:t>
      </w:r>
    </w:p>
    <w:p w:rsidR="004A29DC" w:rsidRDefault="00635C9F">
      <w:pPr>
        <w:pStyle w:val="50"/>
        <w:shd w:val="clear" w:color="auto" w:fill="auto"/>
        <w:spacing w:before="0"/>
        <w:ind w:left="40"/>
      </w:pPr>
      <w:r>
        <w:t>Кодификатор</w:t>
      </w:r>
    </w:p>
    <w:p w:rsidR="004A29DC" w:rsidRDefault="00635C9F">
      <w:pPr>
        <w:pStyle w:val="40"/>
        <w:shd w:val="clear" w:color="auto" w:fill="auto"/>
        <w:spacing w:before="0" w:after="180" w:line="254" w:lineRule="exact"/>
        <w:ind w:left="40"/>
      </w:pPr>
      <w:r>
        <w:t>элементов содержания и требований к уровню</w:t>
      </w:r>
      <w:r>
        <w:br/>
        <w:t>подготовки выпускников образовательных</w:t>
      </w:r>
      <w:r>
        <w:br/>
        <w:t>организаций для проведения</w:t>
      </w:r>
      <w:r>
        <w:br/>
        <w:t>единого государственного экзамена</w:t>
      </w:r>
      <w:r>
        <w:br/>
        <w:t>по русскому языку</w:t>
      </w:r>
      <w:r>
        <w:br/>
      </w:r>
      <w:r>
        <w:rPr>
          <w:rStyle w:val="2"/>
        </w:rPr>
        <w:t xml:space="preserve">подготовлен Федеральным </w:t>
      </w:r>
      <w:r>
        <w:rPr>
          <w:rStyle w:val="2"/>
        </w:rPr>
        <w:t>государственным бюджетным</w:t>
      </w:r>
      <w:r>
        <w:rPr>
          <w:rStyle w:val="2"/>
        </w:rPr>
        <w:br/>
        <w:t>научным учреждением</w:t>
      </w:r>
    </w:p>
    <w:p w:rsidR="004A29DC" w:rsidRDefault="00635C9F">
      <w:pPr>
        <w:pStyle w:val="20"/>
        <w:shd w:val="clear" w:color="auto" w:fill="auto"/>
        <w:spacing w:before="0" w:after="0" w:line="180" w:lineRule="exact"/>
        <w:ind w:left="40"/>
        <w:sectPr w:rsidR="004A29DC">
          <w:headerReference w:type="default" r:id="rId6"/>
          <w:footerReference w:type="default" r:id="rId7"/>
          <w:footnotePr>
            <w:numFmt w:val="upperRoman"/>
            <w:numRestart w:val="eachPage"/>
          </w:footnotePr>
          <w:pgSz w:w="8400" w:h="11900"/>
          <w:pgMar w:top="925" w:right="654" w:bottom="925" w:left="1684" w:header="0" w:footer="3" w:gutter="0"/>
          <w:cols w:space="720"/>
          <w:noEndnote/>
          <w:titlePg/>
          <w:docGrid w:linePitch="360"/>
        </w:sectPr>
      </w:pPr>
      <w:r>
        <w:t>«ФЕДЕРАЛЬНЫЙ ИНСТИТУТ ПЕДАЕОЕИЧЕСКИХ ИЗМЕРЕНИЙ»</w:t>
      </w:r>
    </w:p>
    <w:p w:rsidR="004A29DC" w:rsidRDefault="00635C9F">
      <w:pPr>
        <w:pStyle w:val="60"/>
        <w:shd w:val="clear" w:color="auto" w:fill="auto"/>
        <w:spacing w:after="0" w:line="190" w:lineRule="exact"/>
        <w:ind w:right="140"/>
      </w:pPr>
      <w:r>
        <w:lastRenderedPageBreak/>
        <w:t>Кодификатор</w:t>
      </w:r>
    </w:p>
    <w:p w:rsidR="004A29DC" w:rsidRDefault="00635C9F">
      <w:pPr>
        <w:pStyle w:val="60"/>
        <w:shd w:val="clear" w:color="auto" w:fill="auto"/>
        <w:spacing w:after="180" w:line="221" w:lineRule="exact"/>
        <w:ind w:right="140"/>
      </w:pPr>
      <w:r>
        <w:t>элементов содержания и требований к уровню подготовки выпускников</w:t>
      </w:r>
      <w:r>
        <w:br/>
        <w:t>образовательных организаций для проведения единого государственного</w:t>
      </w:r>
      <w:r>
        <w:br/>
        <w:t>экзамена по русскому язык</w:t>
      </w:r>
      <w:r>
        <w:t>у</w:t>
      </w:r>
    </w:p>
    <w:p w:rsidR="004A29DC" w:rsidRDefault="00635C9F">
      <w:pPr>
        <w:pStyle w:val="20"/>
        <w:shd w:val="clear" w:color="auto" w:fill="auto"/>
        <w:spacing w:before="0" w:after="0" w:line="221" w:lineRule="exact"/>
        <w:ind w:left="380" w:right="140" w:firstLine="480"/>
        <w:jc w:val="both"/>
      </w:pPr>
      <w:r>
        <w:t>Кодификатор элементов содержания и требований к уровню подготовки для проведения единого государственного экзамена по русскому языку (далее - кодификатор) является одним из документов, определяющих структуру и содержание КИМ ЕГЭ. Он составлен на основе Ф</w:t>
      </w:r>
      <w:r>
        <w:t>едерального компонента государственных стандартов основного общего и среднего (полного) общего образования по русскому языку (базовый и профильный уровни) (приказ Минобразования России от 05.03.2004 № 1089).</w:t>
      </w:r>
    </w:p>
    <w:p w:rsidR="004A29DC" w:rsidRDefault="00635C9F">
      <w:pPr>
        <w:pStyle w:val="20"/>
        <w:shd w:val="clear" w:color="auto" w:fill="auto"/>
        <w:spacing w:before="0" w:after="180" w:line="221" w:lineRule="exact"/>
        <w:ind w:left="380" w:right="140" w:firstLine="480"/>
        <w:jc w:val="both"/>
      </w:pPr>
      <w:r>
        <w:t>В кодификатор не включены элементы содержания, в</w:t>
      </w:r>
      <w:r>
        <w:t>ыделенные в Обязательном минимуме содержания основных образовательных программ курсивом, в связи с тем, что данное содержание подлежит изучению, но не является объектом контроля и не включается в Требования к уровню подготовки выпускников. Также не включен</w:t>
      </w:r>
      <w:r>
        <w:t>ы те требования к уровню подготовки, которые не могут быть проверены в рамках единого государственного экзамена.</w:t>
      </w:r>
    </w:p>
    <w:p w:rsidR="004A29DC" w:rsidRDefault="00635C9F">
      <w:pPr>
        <w:pStyle w:val="60"/>
        <w:shd w:val="clear" w:color="auto" w:fill="auto"/>
        <w:spacing w:after="180" w:line="221" w:lineRule="exact"/>
        <w:ind w:right="140"/>
      </w:pPr>
      <w:r>
        <w:t>Раздел 1. Перечень элементов содержания, проверяемых на едином</w:t>
      </w:r>
      <w:r>
        <w:br/>
        <w:t>государственном экзамене по русскому языку</w:t>
      </w:r>
    </w:p>
    <w:p w:rsidR="004A29DC" w:rsidRDefault="00635C9F">
      <w:pPr>
        <w:pStyle w:val="20"/>
        <w:shd w:val="clear" w:color="auto" w:fill="auto"/>
        <w:spacing w:before="0" w:after="0" w:line="221" w:lineRule="exact"/>
        <w:ind w:left="380" w:right="140" w:firstLine="480"/>
        <w:jc w:val="both"/>
      </w:pPr>
      <w:r>
        <w:t>Перечень элементов содержания, провер</w:t>
      </w:r>
      <w:r>
        <w:t xml:space="preserve">яемых на едином государственном экзамене по русскому языку, составлен на основе Обязательного минимума содержания основных образовательных </w:t>
      </w:r>
      <w:proofErr w:type="gramStart"/>
      <w:r>
        <w:t>программ .</w:t>
      </w:r>
      <w:proofErr w:type="gramEnd"/>
    </w:p>
    <w:p w:rsidR="004A29DC" w:rsidRDefault="00635C9F">
      <w:pPr>
        <w:pStyle w:val="20"/>
        <w:shd w:val="clear" w:color="auto" w:fill="auto"/>
        <w:spacing w:before="0" w:after="0" w:line="221" w:lineRule="exact"/>
        <w:ind w:left="380" w:right="140" w:firstLine="480"/>
        <w:jc w:val="both"/>
      </w:pPr>
      <w:r>
        <w:t>Жирным курсивом указываются крупные блоки содержания, которые ниже разбиты на более мелкие элементы. Кажда</w:t>
      </w:r>
      <w:r>
        <w:t>я из этих позиций кодификатора представляет собой укрупненную дидактическую единицу содержания обучения, которая может включать несколько тематических единиц. Во втором столбце указывается код элемента содержания, для которого создаются задания.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744"/>
        <w:gridCol w:w="5597"/>
      </w:tblGrid>
      <w:tr w:rsidR="004A29DC" w:rsidTr="000C0438">
        <w:tblPrEx>
          <w:tblCellMar>
            <w:top w:w="0" w:type="dxa"/>
            <w:bottom w:w="0" w:type="dxa"/>
          </w:tblCellMar>
        </w:tblPrEx>
        <w:trPr>
          <w:trHeight w:hRule="exact" w:val="199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28pt"/>
              </w:rPr>
              <w:t>Код</w:t>
            </w:r>
          </w:p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28pt"/>
              </w:rPr>
              <w:t>раз</w:t>
            </w:r>
            <w:r>
              <w:rPr>
                <w:rStyle w:val="28pt"/>
              </w:rPr>
              <w:softHyphen/>
            </w:r>
          </w:p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ind w:left="160"/>
              <w:jc w:val="left"/>
            </w:pPr>
            <w:r>
              <w:rPr>
                <w:rStyle w:val="28pt"/>
              </w:rPr>
              <w:t>дела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ind w:left="200"/>
              <w:jc w:val="left"/>
            </w:pPr>
            <w:r>
              <w:rPr>
                <w:rStyle w:val="28pt"/>
              </w:rPr>
              <w:t>Код</w:t>
            </w:r>
          </w:p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jc w:val="left"/>
            </w:pPr>
            <w:proofErr w:type="spellStart"/>
            <w:r>
              <w:rPr>
                <w:rStyle w:val="28pt"/>
              </w:rPr>
              <w:t>контро</w:t>
            </w:r>
            <w:proofErr w:type="spellEnd"/>
            <w:r>
              <w:rPr>
                <w:rStyle w:val="28pt"/>
              </w:rPr>
              <w:softHyphen/>
            </w:r>
          </w:p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лиру</w:t>
            </w:r>
            <w:r>
              <w:rPr>
                <w:rStyle w:val="28pt"/>
              </w:rPr>
              <w:softHyphen/>
            </w:r>
          </w:p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</w:pPr>
            <w:proofErr w:type="spellStart"/>
            <w:r>
              <w:rPr>
                <w:rStyle w:val="28pt"/>
              </w:rPr>
              <w:t>емого</w:t>
            </w:r>
            <w:proofErr w:type="spellEnd"/>
          </w:p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jc w:val="left"/>
            </w:pPr>
            <w:proofErr w:type="spellStart"/>
            <w:r>
              <w:rPr>
                <w:rStyle w:val="28pt"/>
              </w:rPr>
              <w:t>элемен</w:t>
            </w:r>
            <w:proofErr w:type="spellEnd"/>
            <w:r>
              <w:rPr>
                <w:rStyle w:val="28pt"/>
              </w:rPr>
              <w:softHyphen/>
            </w:r>
          </w:p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rPr>
                <w:rStyle w:val="28pt"/>
              </w:rPr>
            </w:pPr>
            <w:r>
              <w:rPr>
                <w:rStyle w:val="28pt"/>
              </w:rPr>
              <w:t>та</w:t>
            </w:r>
          </w:p>
          <w:p w:rsidR="000C0438" w:rsidRDefault="000C0438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КЭС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Элементы содержания, проверяемые заданиями КИМ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>Фонетика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1.1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Звуки и буквы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1.2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Фонетический анализ слова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>Лексика и фразеология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2.1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Лексическое значение слова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2.2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Синонимы. Антонимы. Омонимы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2.3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Фразеологические обороты</w:t>
            </w:r>
          </w:p>
        </w:tc>
      </w:tr>
    </w:tbl>
    <w:p w:rsidR="004A29DC" w:rsidRDefault="004A29DC">
      <w:pPr>
        <w:framePr w:w="6965" w:wrap="notBeside" w:vAnchor="text" w:hAnchor="text" w:xAlign="center" w:y="1"/>
        <w:rPr>
          <w:sz w:val="2"/>
          <w:szCs w:val="2"/>
        </w:rPr>
      </w:pPr>
    </w:p>
    <w:p w:rsidR="004A29DC" w:rsidRDefault="004A29D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744"/>
        <w:gridCol w:w="5597"/>
      </w:tblGrid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2.4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Группы слов по происхождению и употреблению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2.5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Лексический анализ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proofErr w:type="spellStart"/>
            <w:r>
              <w:rPr>
                <w:rStyle w:val="28pt0"/>
              </w:rPr>
              <w:t>Морфемика</w:t>
            </w:r>
            <w:proofErr w:type="spellEnd"/>
            <w:r>
              <w:rPr>
                <w:rStyle w:val="28pt0"/>
              </w:rPr>
              <w:t xml:space="preserve"> и словообразование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3.1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Значимые части слова (морфемы)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3.2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Морфемный анализ слова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3.3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Основные способы словообразования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3.4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Словообразовательный анализ слова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0"/>
              </w:rPr>
              <w:t>Грамматика Морфология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4.1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Самостоятельные части речи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4.2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Служебные части речи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4.3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Морфологический анализ слова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0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0"/>
              </w:rPr>
              <w:t>Грамматика Синтаксис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5.1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Словосочетание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5.2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28pt1"/>
              </w:rPr>
              <w:t xml:space="preserve">Предложение. Грамматическая (предикативная) </w:t>
            </w:r>
            <w:r>
              <w:rPr>
                <w:rStyle w:val="28pt1"/>
              </w:rPr>
              <w:t>основа предложения. Подлежащее и сказуемое как главные члены предложения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5.3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Второстепенные члены предложения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5.4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Двусоставные и односоставные предложения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5.5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Распространенные и нераспространенные предложения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5.6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Полные и неполные предложения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5.7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Осложненное простое предложение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5.8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Сложное предложение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5.9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28pt1"/>
              </w:rPr>
              <w:t>Сложные бессоюзные предложения. Смысловые отношения между частями сложного бессоюзного предложения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5.10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Сложные предложения с разными видами связи между частями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5.11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 xml:space="preserve">Способы передачи </w:t>
            </w:r>
            <w:r>
              <w:rPr>
                <w:rStyle w:val="28pt1"/>
              </w:rPr>
              <w:t>чужой речи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5.12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Синтаксический анализ простого предложения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5.13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Синтаксический анализ сложного предложения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5.14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Синтаксический анализ (обобщение)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0"/>
              </w:rPr>
              <w:t>Орфография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6.1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Орфограмма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6.2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 xml:space="preserve">Употребление гласных букв </w:t>
            </w:r>
            <w:proofErr w:type="gramStart"/>
            <w:r>
              <w:rPr>
                <w:rStyle w:val="28pt1"/>
              </w:rPr>
              <w:t>И</w:t>
            </w:r>
            <w:proofErr w:type="gramEnd"/>
            <w:r>
              <w:rPr>
                <w:rStyle w:val="28pt1"/>
              </w:rPr>
              <w:t xml:space="preserve">/Ы, </w:t>
            </w:r>
            <w:r>
              <w:rPr>
                <w:rStyle w:val="28pt1"/>
                <w:lang w:val="en-US" w:eastAsia="en-US" w:bidi="en-US"/>
              </w:rPr>
              <w:t>A</w:t>
            </w:r>
            <w:r>
              <w:rPr>
                <w:rStyle w:val="28pt1"/>
              </w:rPr>
              <w:t>/Я, У/Ю после шипящих и Ц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6.3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 xml:space="preserve">Употребление гласных букв </w:t>
            </w:r>
            <w:proofErr w:type="gramStart"/>
            <w:r>
              <w:rPr>
                <w:rStyle w:val="28pt1"/>
              </w:rPr>
              <w:t>О</w:t>
            </w:r>
            <w:proofErr w:type="gramEnd"/>
            <w:r>
              <w:rPr>
                <w:rStyle w:val="28pt1"/>
              </w:rPr>
              <w:t>/Е (Ё) после шипящих и Ц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6.4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Употребление Ь и Ъ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6.5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Правописание корней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6.6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Правописание приставок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6.7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28pt1"/>
              </w:rPr>
              <w:t>Правописание суффиксов различных частей речи (кроме -Н-/-НН-)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6.8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Правописание -</w:t>
            </w:r>
            <w:proofErr w:type="gramStart"/>
            <w:r>
              <w:rPr>
                <w:rStyle w:val="28pt1"/>
              </w:rPr>
              <w:t>Н- и</w:t>
            </w:r>
            <w:proofErr w:type="gramEnd"/>
            <w:r>
              <w:rPr>
                <w:rStyle w:val="28pt1"/>
              </w:rPr>
              <w:t xml:space="preserve"> -НН- в различных частях речи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6.9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Правописание падежных и родовых окончаний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6.10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Правописание личных окончаний глаголов и суффиксов причастий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6.11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Слитное и раздельное написание НЕ с различными частями речи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6.12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Правописание отрицательных местоимений и наречий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6.13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Правописание</w:t>
            </w:r>
            <w:r>
              <w:rPr>
                <w:rStyle w:val="28pt1"/>
              </w:rPr>
              <w:t xml:space="preserve"> НЕ и НИ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6.14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Правописание служебных слов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6.15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Правописание словарных слов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6.16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28pt1"/>
              </w:rPr>
              <w:t>Слитное, дефисное, раздельное написание слов различных частей речи</w:t>
            </w:r>
          </w:p>
        </w:tc>
      </w:tr>
    </w:tbl>
    <w:p w:rsidR="004A29DC" w:rsidRDefault="004A29DC">
      <w:pPr>
        <w:framePr w:w="6965" w:wrap="notBeside" w:vAnchor="text" w:hAnchor="text" w:xAlign="center" w:y="1"/>
        <w:rPr>
          <w:sz w:val="2"/>
          <w:szCs w:val="2"/>
        </w:rPr>
      </w:pPr>
    </w:p>
    <w:p w:rsidR="004A29DC" w:rsidRDefault="004A29D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744"/>
        <w:gridCol w:w="5597"/>
      </w:tblGrid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6.17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Орфографический анализ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1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0"/>
              </w:rPr>
              <w:t>Пунктуация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Знаки препинания между подлежащим и сказуемым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Знаки препинания в простом осложненном предложении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Знаки препинания при обособленных определениях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Знаки препинания при обособленных обстоятельствах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Знаки препинания при сравнительных оборотах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 xml:space="preserve">Знаки препинания при уточняющих </w:t>
            </w:r>
            <w:r>
              <w:rPr>
                <w:rStyle w:val="28pt1"/>
              </w:rPr>
              <w:t>членах предложения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Знаки препинания при обособленных членах предложения (обобщение)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 xml:space="preserve">Знаки препинания в осложненном предложении </w:t>
            </w:r>
            <w:r>
              <w:rPr>
                <w:rStyle w:val="28pt1"/>
              </w:rPr>
              <w:t>(обобщение)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Знаки препинания при прямой речи, цитировании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7.11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Знаки препинания в сложносочиненном предложении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7.12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Знаки препинания в сложноподчиненном предложении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7.13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Знаки препинания в сложном предложении с разными видами связи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7.14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Знаки препинания в бессоюзном сложном предложении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7.15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Знаки препинания в сложном предложении с союзной и бессоюзной связью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7.16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Тире в простом и сложном предложениях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7.17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Двоеточие в простом и сложном предложениях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7.18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 xml:space="preserve">Пунктуация в простом и </w:t>
            </w:r>
            <w:r>
              <w:rPr>
                <w:rStyle w:val="28pt1"/>
              </w:rPr>
              <w:t>сложном предложениях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7.19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Пунктуационный анализ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0"/>
              </w:rPr>
              <w:t>Речь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8.1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Текст как речевое произведение. Смысловая и композиционная целостность текста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8.2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Средства связи предложений в тексте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8.3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Стили и функционально-смысловые типы речи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8.4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 xml:space="preserve">Отбор языковых </w:t>
            </w:r>
            <w:r>
              <w:rPr>
                <w:rStyle w:val="28pt1"/>
              </w:rPr>
              <w:t>средств в тексте в зависимости от темы, цели, адресата и ситуации общения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8.5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Анализ текста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8.6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Создание текстов различных стилей и функционально-смысловых типов речи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0"/>
              </w:rPr>
              <w:t>Языковые нормы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9.1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Орфоэпические нормы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9.2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Лексические нормы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9.3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Грамматические нормы (морфологические нормы)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9.4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 xml:space="preserve">Г </w:t>
            </w:r>
            <w:proofErr w:type="spellStart"/>
            <w:r>
              <w:rPr>
                <w:rStyle w:val="28pt1"/>
              </w:rPr>
              <w:t>рамматические</w:t>
            </w:r>
            <w:proofErr w:type="spellEnd"/>
            <w:r>
              <w:rPr>
                <w:rStyle w:val="28pt1"/>
              </w:rPr>
              <w:t xml:space="preserve"> нормы (синтаксические нормы)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0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0"/>
              </w:rPr>
              <w:t>Выразительность русской речи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10.1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Выразительные средства русской фонетики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10.2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Выразительные средства словообразования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10.3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 xml:space="preserve">Выразительные средства </w:t>
            </w:r>
            <w:r>
              <w:rPr>
                <w:rStyle w:val="28pt1"/>
              </w:rPr>
              <w:t>лексики и фразеологии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10.4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Выразительные средства грамматики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1"/>
              </w:rPr>
              <w:t>10.5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1"/>
              </w:rPr>
              <w:t>Анализ средств выразительности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28pt0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9DC" w:rsidRDefault="004A29DC">
            <w:pPr>
              <w:framePr w:w="6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96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28pt0"/>
              </w:rPr>
              <w:t>Информационная обработка текстов различных стилей и жанров</w:t>
            </w:r>
          </w:p>
        </w:tc>
      </w:tr>
    </w:tbl>
    <w:p w:rsidR="004A29DC" w:rsidRDefault="004A29DC">
      <w:pPr>
        <w:framePr w:w="6965" w:wrap="notBeside" w:vAnchor="text" w:hAnchor="text" w:xAlign="center" w:y="1"/>
        <w:rPr>
          <w:sz w:val="2"/>
          <w:szCs w:val="2"/>
        </w:rPr>
      </w:pPr>
    </w:p>
    <w:p w:rsidR="004A29DC" w:rsidRDefault="004A29DC">
      <w:pPr>
        <w:rPr>
          <w:sz w:val="2"/>
          <w:szCs w:val="2"/>
        </w:rPr>
      </w:pPr>
    </w:p>
    <w:p w:rsidR="004A29DC" w:rsidRDefault="004A29DC">
      <w:pPr>
        <w:rPr>
          <w:sz w:val="2"/>
          <w:szCs w:val="2"/>
        </w:rPr>
        <w:sectPr w:rsidR="004A29DC">
          <w:pgSz w:w="8400" w:h="11900"/>
          <w:pgMar w:top="835" w:right="544" w:bottom="849" w:left="891" w:header="0" w:footer="3" w:gutter="0"/>
          <w:cols w:space="720"/>
          <w:noEndnote/>
          <w:docGrid w:linePitch="360"/>
        </w:sectPr>
      </w:pPr>
    </w:p>
    <w:p w:rsidR="004A29DC" w:rsidRDefault="00635C9F">
      <w:pPr>
        <w:pStyle w:val="60"/>
        <w:shd w:val="clear" w:color="auto" w:fill="auto"/>
        <w:spacing w:after="0" w:line="221" w:lineRule="exact"/>
        <w:ind w:left="480" w:firstLine="1020"/>
        <w:jc w:val="left"/>
      </w:pPr>
      <w:r>
        <w:lastRenderedPageBreak/>
        <w:t>Раздел 2. Перечень требований к уровню подготовки, проверяемому на</w:t>
      </w:r>
      <w:r>
        <w:t xml:space="preserve"> едином государственном экзамене по русскому языку</w:t>
      </w:r>
    </w:p>
    <w:p w:rsidR="004A29DC" w:rsidRDefault="00635C9F">
      <w:pPr>
        <w:pStyle w:val="20"/>
        <w:shd w:val="clear" w:color="auto" w:fill="auto"/>
        <w:spacing w:before="0" w:after="0" w:line="221" w:lineRule="exact"/>
        <w:ind w:left="380" w:firstLine="500"/>
        <w:jc w:val="both"/>
      </w:pPr>
      <w:r>
        <w:t>В этом разделе представлен перечень требований к уровню подготовки выпускников, проверяемому на едином государственном экзамене, в соответствии с Федеральным компонентом государственного стандарта среднего</w:t>
      </w:r>
      <w:r>
        <w:t xml:space="preserve"> (полного) общего образования (базовый и профильный уровни).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816"/>
        <w:gridCol w:w="3365"/>
        <w:gridCol w:w="2083"/>
      </w:tblGrid>
      <w:tr w:rsidR="004A29D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9DC" w:rsidRDefault="00635C9F" w:rsidP="000C0438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60" w:line="160" w:lineRule="exact"/>
            </w:pPr>
            <w:r>
              <w:rPr>
                <w:rStyle w:val="28pt"/>
              </w:rPr>
              <w:t>Код</w:t>
            </w:r>
          </w:p>
          <w:p w:rsidR="004A29DC" w:rsidRDefault="000C0438" w:rsidP="000C0438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after="0" w:line="160" w:lineRule="exact"/>
              <w:rPr>
                <w:rStyle w:val="28pt"/>
              </w:rPr>
            </w:pPr>
            <w:r>
              <w:rPr>
                <w:rStyle w:val="28pt"/>
              </w:rPr>
              <w:t>Т</w:t>
            </w:r>
            <w:r w:rsidR="00635C9F">
              <w:rPr>
                <w:rStyle w:val="28pt"/>
              </w:rPr>
              <w:t>ребования</w:t>
            </w:r>
          </w:p>
          <w:p w:rsidR="000C0438" w:rsidRDefault="000C0438" w:rsidP="000C0438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after="0" w:line="160" w:lineRule="exact"/>
            </w:pPr>
            <w:r>
              <w:rPr>
                <w:rStyle w:val="28pt"/>
              </w:rPr>
              <w:t>КПУ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Умения, проверяемые на едином государственном экзамене</w:t>
            </w:r>
            <w:r>
              <w:rPr>
                <w:rStyle w:val="28pt"/>
                <w:vertAlign w:val="superscript"/>
              </w:rPr>
              <w:footnoteReference w:id="1"/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Уровень стандарта среднего (полного) образования по русскому языку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2PalatinoLinotype8pt"/>
                <w:b w:val="0"/>
                <w:bCs w:val="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Различные виды анализа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1.1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 xml:space="preserve">Проводить различные </w:t>
            </w:r>
            <w:r>
              <w:rPr>
                <w:rStyle w:val="28pt1"/>
              </w:rPr>
              <w:t>виды анализа языковых единиц, языковых явлений и фактов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8pt1"/>
              </w:rPr>
              <w:t>Базовый</w:t>
            </w:r>
          </w:p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1.2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Осуществлять речевой самоконтроль; оценивать письменные высказывания с точки зрения языкового оформления, эффективности достижения поставлен</w:t>
            </w:r>
            <w:r>
              <w:rPr>
                <w:rStyle w:val="28pt1"/>
              </w:rPr>
              <w:softHyphen/>
              <w:t>ных коммуникативных задач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8pt1"/>
              </w:rPr>
              <w:t>Базовый</w:t>
            </w:r>
          </w:p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  <w:bookmarkStart w:id="0" w:name="_GoBack"/>
            <w:bookmarkEnd w:id="0"/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1.3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Разграничивать варианты норм, предна</w:t>
            </w:r>
            <w:r>
              <w:rPr>
                <w:rStyle w:val="28pt1"/>
              </w:rPr>
              <w:softHyphen/>
              <w:t>меренные и непреднамеренные нарушения языковых норм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1.4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Проводить лингвистический анализ учебно-научных, деловых, публицисти</w:t>
            </w:r>
            <w:r>
              <w:rPr>
                <w:rStyle w:val="28pt1"/>
              </w:rPr>
              <w:softHyphen/>
              <w:t>ческих, разговорных и художественных текстов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8pt1"/>
              </w:rPr>
              <w:t>Базовый</w:t>
            </w:r>
          </w:p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1.5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Объяснять взаимосвязь фактов языка и истории, языка и культуры русского и других народов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2PalatinoLinotype8pt"/>
                <w:b w:val="0"/>
                <w:bCs w:val="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Чтение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2.1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28pt1"/>
              </w:rPr>
              <w:t xml:space="preserve">Использовать основные виды чтения (ознакомительно-изучающее, ознакомительно-реферативное и др.) в зависимости от коммуникативной </w:t>
            </w:r>
            <w:r>
              <w:rPr>
                <w:rStyle w:val="28pt1"/>
              </w:rPr>
              <w:t>задачи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8pt1"/>
              </w:rPr>
              <w:t>Базовый</w:t>
            </w:r>
          </w:p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2.2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8pt1"/>
              </w:rPr>
              <w:t>Базовый</w:t>
            </w:r>
          </w:p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2.3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Владеть основными приёмами информа</w:t>
            </w:r>
            <w:r>
              <w:rPr>
                <w:rStyle w:val="28pt1"/>
              </w:rPr>
              <w:softHyphen/>
              <w:t>ционной переработки письменного</w:t>
            </w:r>
            <w:r>
              <w:rPr>
                <w:rStyle w:val="28pt1"/>
              </w:rPr>
              <w:t xml:space="preserve"> текста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8pt1"/>
              </w:rPr>
              <w:t>Базовый</w:t>
            </w:r>
          </w:p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</w:p>
        </w:tc>
      </w:tr>
    </w:tbl>
    <w:p w:rsidR="004A29DC" w:rsidRDefault="004A29DC">
      <w:pPr>
        <w:framePr w:w="6614" w:wrap="notBeside" w:vAnchor="text" w:hAnchor="text" w:xAlign="center" w:y="1"/>
        <w:rPr>
          <w:sz w:val="2"/>
          <w:szCs w:val="2"/>
        </w:rPr>
      </w:pPr>
    </w:p>
    <w:p w:rsidR="004A29DC" w:rsidRDefault="004A29DC">
      <w:pPr>
        <w:rPr>
          <w:sz w:val="2"/>
          <w:szCs w:val="2"/>
        </w:rPr>
      </w:pPr>
    </w:p>
    <w:p w:rsidR="004A29DC" w:rsidRDefault="004A29DC">
      <w:pPr>
        <w:rPr>
          <w:sz w:val="2"/>
          <w:szCs w:val="2"/>
        </w:rPr>
        <w:sectPr w:rsidR="004A29DC">
          <w:pgSz w:w="8400" w:h="11900"/>
          <w:pgMar w:top="884" w:right="692" w:bottom="884" w:left="74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811"/>
        <w:gridCol w:w="3365"/>
        <w:gridCol w:w="2083"/>
      </w:tblGrid>
      <w:tr w:rsidR="004A29D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lastRenderedPageBreak/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1"/>
              </w:rPr>
              <w:t>Письмо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1"/>
              </w:rPr>
              <w:t>3.1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 xml:space="preserve">Создавать письменные высказывания различных типов и жанров в </w:t>
            </w:r>
            <w:proofErr w:type="spellStart"/>
            <w:r>
              <w:rPr>
                <w:rStyle w:val="28pt1"/>
              </w:rPr>
              <w:t>социально</w:t>
            </w:r>
            <w:r>
              <w:rPr>
                <w:rStyle w:val="28pt1"/>
              </w:rPr>
              <w:softHyphen/>
              <w:t>культурной</w:t>
            </w:r>
            <w:proofErr w:type="spellEnd"/>
            <w:r>
              <w:rPr>
                <w:rStyle w:val="28pt1"/>
              </w:rPr>
              <w:t>, учебно-научной (на мате</w:t>
            </w:r>
            <w:r>
              <w:rPr>
                <w:rStyle w:val="28pt1"/>
              </w:rPr>
              <w:softHyphen/>
              <w:t xml:space="preserve">риале изучаемых учебных дисциплин), деловой сферах общения; редактировать </w:t>
            </w:r>
            <w:r>
              <w:rPr>
                <w:rStyle w:val="28pt1"/>
              </w:rPr>
              <w:t>собственный текст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8pt1"/>
              </w:rPr>
              <w:t>Базовый</w:t>
            </w:r>
          </w:p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1"/>
              </w:rPr>
              <w:t>3.2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</w:t>
            </w:r>
            <w:r>
              <w:rPr>
                <w:rStyle w:val="28pt1"/>
              </w:rPr>
              <w:softHyphen/>
              <w:t xml:space="preserve">зовать в собственной речевой практике синонимические ресурсы </w:t>
            </w:r>
            <w:r>
              <w:rPr>
                <w:rStyle w:val="28pt1"/>
              </w:rPr>
              <w:t>русского языка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8pt1"/>
              </w:rPr>
              <w:t>Базовый</w:t>
            </w:r>
          </w:p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1"/>
              </w:rPr>
              <w:t>3.3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Применять в практике письма орфо</w:t>
            </w:r>
            <w:r>
              <w:rPr>
                <w:rStyle w:val="28pt1"/>
              </w:rPr>
              <w:softHyphen/>
              <w:t>графические и пунктуационные нормы современного русского литературного языка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8pt1"/>
              </w:rPr>
              <w:t>Базовый</w:t>
            </w:r>
          </w:p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1"/>
              </w:rPr>
              <w:t>3.4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 xml:space="preserve">Соблюдать нормы речевого поведения в различных сферах и ситуациях общения, в том </w:t>
            </w:r>
            <w:r>
              <w:rPr>
                <w:rStyle w:val="28pt1"/>
              </w:rPr>
              <w:t>числе при обсуждении дискуссионных проблем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8pt1"/>
              </w:rPr>
              <w:t>Базовый</w:t>
            </w:r>
          </w:p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pt0"/>
              </w:rPr>
              <w:t>Специфические требования для образовательных учреждений с родным (нерусским) языком обучения, непроверяемые</w:t>
            </w:r>
          </w:p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0"/>
              </w:rPr>
              <w:t>на едином государственном экзамене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 xml:space="preserve">Знать смысл понятий: национальный, </w:t>
            </w:r>
            <w:r>
              <w:rPr>
                <w:rStyle w:val="28pt1"/>
              </w:rPr>
              <w:t>государственный, мировой язык; язык межнационального общения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Знать сходства и различия фонетической, лексической и грамматической систем русского и родного языков, речевого этикета русского народа и других народов России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8pt1"/>
              </w:rPr>
              <w:t>Базовый</w:t>
            </w:r>
          </w:p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Осознавать национальное своеобразие русского языка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8pt1"/>
              </w:rPr>
              <w:t>Базовый</w:t>
            </w:r>
          </w:p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Вести диалог в ситуации межкультурной коммуникации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8pt1"/>
              </w:rPr>
              <w:t>Базовый</w:t>
            </w:r>
          </w:p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</w:p>
        </w:tc>
      </w:tr>
      <w:tr w:rsidR="004A29D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1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9DC" w:rsidRDefault="004A29DC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pt1"/>
              </w:rPr>
              <w:t>Переводить с родного языка на русский тексты разных типов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8pt1"/>
              </w:rPr>
              <w:t>Базовый</w:t>
            </w:r>
          </w:p>
          <w:p w:rsidR="004A29DC" w:rsidRDefault="00635C9F">
            <w:pPr>
              <w:pStyle w:val="20"/>
              <w:framePr w:w="6614" w:wrap="notBeside" w:vAnchor="text" w:hAnchor="text" w:xAlign="center" w:y="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1"/>
              </w:rPr>
              <w:t>Профильный</w:t>
            </w:r>
          </w:p>
        </w:tc>
      </w:tr>
    </w:tbl>
    <w:p w:rsidR="004A29DC" w:rsidRDefault="004A29DC">
      <w:pPr>
        <w:framePr w:w="6614" w:wrap="notBeside" w:vAnchor="text" w:hAnchor="text" w:xAlign="center" w:y="1"/>
        <w:rPr>
          <w:sz w:val="2"/>
          <w:szCs w:val="2"/>
        </w:rPr>
      </w:pPr>
    </w:p>
    <w:p w:rsidR="004A29DC" w:rsidRDefault="004A29DC">
      <w:pPr>
        <w:rPr>
          <w:sz w:val="2"/>
          <w:szCs w:val="2"/>
        </w:rPr>
      </w:pPr>
    </w:p>
    <w:p w:rsidR="004A29DC" w:rsidRDefault="004A29DC">
      <w:pPr>
        <w:rPr>
          <w:sz w:val="2"/>
          <w:szCs w:val="2"/>
        </w:rPr>
      </w:pPr>
    </w:p>
    <w:sectPr w:rsidR="004A29DC">
      <w:pgSz w:w="8400" w:h="11900"/>
      <w:pgMar w:top="884" w:right="399" w:bottom="884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9F" w:rsidRDefault="00635C9F">
      <w:r>
        <w:separator/>
      </w:r>
    </w:p>
  </w:endnote>
  <w:endnote w:type="continuationSeparator" w:id="0">
    <w:p w:rsidR="00635C9F" w:rsidRDefault="0063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9DC" w:rsidRDefault="00635C9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6.9pt;margin-top:556.45pt;width:303.3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29DC" w:rsidRDefault="00635C9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 xml:space="preserve">©2015 Федеральная служба по надзору в сфере образования и науки Российской </w:t>
                </w:r>
                <w:r>
                  <w:rPr>
                    <w:rStyle w:val="a8"/>
                  </w:rPr>
                  <w:t>Федерации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9F" w:rsidRDefault="00635C9F">
      <w:r>
        <w:separator/>
      </w:r>
    </w:p>
  </w:footnote>
  <w:footnote w:type="continuationSeparator" w:id="0">
    <w:p w:rsidR="00635C9F" w:rsidRDefault="00635C9F">
      <w:r>
        <w:continuationSeparator/>
      </w:r>
    </w:p>
  </w:footnote>
  <w:footnote w:id="1">
    <w:p w:rsidR="004A29DC" w:rsidRDefault="00635C9F">
      <w:pPr>
        <w:pStyle w:val="a5"/>
        <w:shd w:val="clear" w:color="auto" w:fill="auto"/>
        <w:ind w:left="380"/>
      </w:pPr>
      <w:r>
        <w:rPr>
          <w:vertAlign w:val="superscript"/>
        </w:rPr>
        <w:footnoteRef/>
      </w:r>
      <w:r>
        <w:t xml:space="preserve"> В ячейке таблицы, описывающей содержание государственного образовательного стандарта профильного уровня, указываются только те элементы, которые не дублируются в стандартах основного общего образования и базового уровня среднего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9DC" w:rsidRDefault="00635C9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.75pt;margin-top:32.05pt;width:322.1pt;height:6.7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29DC" w:rsidRDefault="00635C9F">
                <w:pPr>
                  <w:pStyle w:val="a7"/>
                  <w:shd w:val="clear" w:color="auto" w:fill="auto"/>
                  <w:tabs>
                    <w:tab w:val="right" w:pos="6442"/>
                  </w:tabs>
                  <w:spacing w:line="240" w:lineRule="auto"/>
                </w:pPr>
                <w:r>
                  <w:rPr>
                    <w:rStyle w:val="8pt"/>
                  </w:rPr>
                  <w:t>РУССКИЙ ЯЗЫК, 11 класс</w:t>
                </w:r>
                <w:r>
                  <w:rPr>
                    <w:rStyle w:val="8pt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C0438" w:rsidRPr="000C0438">
                  <w:rPr>
                    <w:rStyle w:val="a8"/>
                    <w:noProof/>
                  </w:rPr>
                  <w:t>4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A29DC"/>
    <w:rsid w:val="000C0438"/>
    <w:rsid w:val="004A29DC"/>
    <w:rsid w:val="0063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9706A85-9909-4FCC-A24B-778DB453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pt">
    <w:name w:val="Колонтитул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1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PalatinoLinotype8pt">
    <w:name w:val="Основной текст (2) + Palatino Linotype;8 pt"/>
    <w:basedOn w:val="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120" w:line="22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1393</Words>
  <Characters>7945</Characters>
  <Application>Microsoft Office Word</Application>
  <DocSecurity>0</DocSecurity>
  <Lines>66</Lines>
  <Paragraphs>18</Paragraphs>
  <ScaleCrop>false</ScaleCrop>
  <Company/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РУ_КОДИФ 2015.doc</dc:title>
  <dc:subject/>
  <dc:creator>root</dc:creator>
  <cp:keywords/>
  <cp:lastModifiedBy>Инга Морякина</cp:lastModifiedBy>
  <cp:revision>2</cp:revision>
  <dcterms:created xsi:type="dcterms:W3CDTF">2015-06-10T07:00:00Z</dcterms:created>
  <dcterms:modified xsi:type="dcterms:W3CDTF">2015-06-10T07:01:00Z</dcterms:modified>
</cp:coreProperties>
</file>